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0E5" w:rsidRPr="00F476AE" w:rsidRDefault="00F476AE" w:rsidP="00F476AE">
      <w:pPr>
        <w:rPr>
          <w:b/>
          <w:sz w:val="22"/>
          <w:szCs w:val="22"/>
        </w:rPr>
      </w:pPr>
      <w:r w:rsidRPr="00F476AE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o:spid="_x0000_i1029" type="#_x0000_t75" style="width:137.25pt;height:59.25pt;visibility:visible;mso-wrap-style:square">
            <v:imagedata r:id="rId7" o:title="" croptop="16144f" cropbottom="22148f" cropleft="12137f" cropright="8401f"/>
          </v:shape>
        </w:pict>
      </w:r>
      <w:r w:rsidR="0060615C" w:rsidRPr="00F476AE">
        <w:rPr>
          <w:b/>
          <w:color w:val="5B9BD5"/>
          <w:sz w:val="22"/>
          <w:szCs w:val="22"/>
        </w:rPr>
        <w:t xml:space="preserve">               </w:t>
      </w:r>
      <w:r w:rsidR="0060615C" w:rsidRPr="00F476AE">
        <w:rPr>
          <w:b/>
          <w:color w:val="5B9BD5"/>
          <w:sz w:val="22"/>
          <w:szCs w:val="22"/>
        </w:rPr>
        <w:t xml:space="preserve">                                                                                               НСПД</w:t>
      </w:r>
    </w:p>
    <w:p w:rsidR="000750E5" w:rsidRPr="00F476AE" w:rsidRDefault="0060615C" w:rsidP="00F476AE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F476AE">
        <w:rPr>
          <w:b/>
          <w:color w:val="000000"/>
          <w:sz w:val="22"/>
          <w:szCs w:val="22"/>
          <w:shd w:val="clear" w:color="auto" w:fill="FFFFFF"/>
        </w:rPr>
        <w:t xml:space="preserve">В Новосибирской области выявлены новые участки </w:t>
      </w:r>
    </w:p>
    <w:p w:rsidR="000750E5" w:rsidRPr="00F476AE" w:rsidRDefault="0060615C" w:rsidP="00F476AE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F476AE">
        <w:rPr>
          <w:b/>
          <w:color w:val="000000"/>
          <w:sz w:val="22"/>
          <w:szCs w:val="22"/>
          <w:shd w:val="clear" w:color="auto" w:fill="FFFFFF"/>
        </w:rPr>
        <w:t>для развития сферы туризма</w:t>
      </w:r>
    </w:p>
    <w:p w:rsidR="000750E5" w:rsidRPr="00F476AE" w:rsidRDefault="0060615C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В проект Росреестра «Земля для туризма», направленный на</w:t>
      </w:r>
      <w:r w:rsidRPr="00F476AE">
        <w:rPr>
          <w:sz w:val="22"/>
          <w:szCs w:val="22"/>
        </w:rPr>
        <w:t xml:space="preserve"> вовлечение в оборот свободных земель для развития туризма, уже включено 26 земельных участков и территорий Новосибирской области.</w:t>
      </w:r>
    </w:p>
    <w:p w:rsidR="000750E5" w:rsidRPr="00F476AE" w:rsidRDefault="000750E5" w:rsidP="00F476AE">
      <w:pPr>
        <w:ind w:firstLine="709"/>
        <w:jc w:val="both"/>
        <w:rPr>
          <w:sz w:val="22"/>
          <w:szCs w:val="22"/>
        </w:rPr>
      </w:pPr>
    </w:p>
    <w:p w:rsidR="000750E5" w:rsidRPr="00F476AE" w:rsidRDefault="0060615C" w:rsidP="00F476AE">
      <w:pPr>
        <w:ind w:firstLine="709"/>
        <w:jc w:val="both"/>
        <w:rPr>
          <w:sz w:val="22"/>
          <w:szCs w:val="22"/>
        </w:rPr>
      </w:pPr>
      <w:bookmarkStart w:id="0" w:name="undefined"/>
      <w:bookmarkEnd w:id="0"/>
      <w:r w:rsidRPr="00F476AE">
        <w:rPr>
          <w:sz w:val="22"/>
          <w:szCs w:val="22"/>
        </w:rPr>
        <w:t>На одном из последних заседаний регионального оперштаба по наполнению сервиса «Земля для туризма» в список участков с турист</w:t>
      </w:r>
      <w:r w:rsidRPr="00F476AE">
        <w:rPr>
          <w:sz w:val="22"/>
          <w:szCs w:val="22"/>
        </w:rPr>
        <w:t>ическим потенциалом добавлены два земельных участка.</w:t>
      </w:r>
    </w:p>
    <w:p w:rsidR="000750E5" w:rsidRPr="00F476AE" w:rsidRDefault="0060615C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Один из участков площадью 30 га расположен вблизи озера Карачи в Чановском районе. Озеро славится своими целебными грязями и водами. Расположено в 400 км от Новосибирска и занимает площадь 362 га, при эт</w:t>
      </w:r>
      <w:r w:rsidRPr="00F476AE">
        <w:rPr>
          <w:sz w:val="22"/>
          <w:szCs w:val="22"/>
        </w:rPr>
        <w:t>ом его максимальная глубина не превышает 2 м.</w:t>
      </w:r>
      <w:r w:rsidRPr="00F476AE">
        <w:rPr>
          <w:color w:val="000000"/>
          <w:sz w:val="22"/>
          <w:szCs w:val="22"/>
          <w:shd w:val="clear" w:color="auto" w:fill="FFFFFF"/>
        </w:rPr>
        <w:t> </w:t>
      </w:r>
    </w:p>
    <w:p w:rsidR="000750E5" w:rsidRPr="00F476AE" w:rsidRDefault="0060615C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Второй земельный участок площадью 55 га расположен вблизи озера Довольное. Озеро Довольное</w:t>
      </w:r>
      <w:r w:rsidRPr="00F476AE">
        <w:rPr>
          <w:color w:val="333333"/>
          <w:sz w:val="22"/>
          <w:szCs w:val="22"/>
          <w:shd w:val="clear" w:color="auto" w:fill="FFFFFF"/>
        </w:rPr>
        <w:t xml:space="preserve"> уникально для региона тем, что является источником минеральной йодобромной воды. </w:t>
      </w:r>
      <w:r w:rsidRPr="00F476AE">
        <w:rPr>
          <w:color w:val="101010"/>
          <w:sz w:val="22"/>
          <w:szCs w:val="22"/>
          <w:shd w:val="clear" w:color="auto" w:fill="FFFFFF"/>
        </w:rPr>
        <w:t>Вода из озера по своим основным качес</w:t>
      </w:r>
      <w:r w:rsidRPr="00F476AE">
        <w:rPr>
          <w:color w:val="101010"/>
          <w:sz w:val="22"/>
          <w:szCs w:val="22"/>
          <w:shd w:val="clear" w:color="auto" w:fill="FFFFFF"/>
        </w:rPr>
        <w:t xml:space="preserve">твам не уступает воде крупного российского курорта Ессентуки, а расположено </w:t>
      </w:r>
      <w:r w:rsidRPr="00F476AE">
        <w:rPr>
          <w:color w:val="333333"/>
          <w:sz w:val="22"/>
          <w:szCs w:val="22"/>
          <w:shd w:val="clear" w:color="auto" w:fill="FFFFFF"/>
        </w:rPr>
        <w:t>в 280 км от Новосибирска.</w:t>
      </w:r>
    </w:p>
    <w:p w:rsidR="000750E5" w:rsidRPr="00F476AE" w:rsidRDefault="0060615C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На данный момент в Новосибирской области в перечень земельных участков с туристическим потенциалом включено 26 земельных участков и территорий, расположен</w:t>
      </w:r>
      <w:r w:rsidRPr="00F476AE">
        <w:rPr>
          <w:sz w:val="22"/>
          <w:szCs w:val="22"/>
        </w:rPr>
        <w:t xml:space="preserve">ных вблизи 62 объектов туристического интереса. </w:t>
      </w:r>
    </w:p>
    <w:p w:rsidR="000750E5" w:rsidRPr="00F476AE" w:rsidRDefault="0060615C" w:rsidP="00F476AE">
      <w:pPr>
        <w:ind w:firstLine="709"/>
        <w:jc w:val="both"/>
        <w:rPr>
          <w:color w:val="000000"/>
          <w:sz w:val="22"/>
          <w:szCs w:val="22"/>
        </w:rPr>
      </w:pPr>
      <w:r w:rsidRPr="00F476AE">
        <w:rPr>
          <w:color w:val="000000"/>
          <w:sz w:val="22"/>
          <w:szCs w:val="22"/>
        </w:rPr>
        <w:t xml:space="preserve">Предоставление таких земельных участков осуществляется в общем порядке, в соответствии с земельным законодательством. </w:t>
      </w:r>
    </w:p>
    <w:p w:rsidR="000750E5" w:rsidRPr="00F476AE" w:rsidRDefault="0060615C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Ознакомиться с земельными участками можно через общедоступный сервис </w:t>
      </w:r>
      <w:r w:rsidRPr="00F476AE">
        <w:rPr>
          <w:sz w:val="22"/>
          <w:szCs w:val="22"/>
        </w:rPr>
        <w:t xml:space="preserve">«Земля для туризма» </w:t>
      </w:r>
      <w:r w:rsidRPr="00F476AE">
        <w:rPr>
          <w:color w:val="000000"/>
          <w:sz w:val="22"/>
          <w:szCs w:val="22"/>
        </w:rPr>
        <w:t>на Публичной кадастровой карте Росреестра</w:t>
      </w:r>
      <w:r w:rsidRPr="00F476AE">
        <w:rPr>
          <w:sz w:val="22"/>
          <w:szCs w:val="22"/>
        </w:rPr>
        <w:t xml:space="preserve"> по адресу </w:t>
      </w:r>
      <w:r w:rsidRPr="00F476AE">
        <w:rPr>
          <w:sz w:val="22"/>
          <w:szCs w:val="22"/>
          <w:lang w:val="en-US"/>
        </w:rPr>
        <w:t>pkk</w:t>
      </w:r>
      <w:r w:rsidRPr="00F476AE">
        <w:rPr>
          <w:sz w:val="22"/>
          <w:szCs w:val="22"/>
        </w:rPr>
        <w:t>.</w:t>
      </w:r>
      <w:r w:rsidRPr="00F476AE">
        <w:rPr>
          <w:sz w:val="22"/>
          <w:szCs w:val="22"/>
          <w:lang w:val="en-US"/>
        </w:rPr>
        <w:t>rosreestr</w:t>
      </w:r>
      <w:r w:rsidRPr="00F476AE">
        <w:rPr>
          <w:sz w:val="22"/>
          <w:szCs w:val="22"/>
        </w:rPr>
        <w:t>.</w:t>
      </w:r>
      <w:r w:rsidRPr="00F476AE">
        <w:rPr>
          <w:sz w:val="22"/>
          <w:szCs w:val="22"/>
          <w:lang w:val="en-US"/>
        </w:rPr>
        <w:t>ru</w:t>
      </w:r>
      <w:r w:rsidRPr="00F476AE">
        <w:rPr>
          <w:sz w:val="22"/>
          <w:szCs w:val="22"/>
        </w:rPr>
        <w:t>. Для просмотра объектов необходимо выбрать из выпадающего списка «Земля для туризма» и указать в поисковой строке «54:*».</w:t>
      </w:r>
    </w:p>
    <w:p w:rsidR="00F476AE" w:rsidRPr="00F476AE" w:rsidRDefault="00F476AE" w:rsidP="00F476AE">
      <w:pPr>
        <w:jc w:val="center"/>
        <w:rPr>
          <w:b/>
          <w:sz w:val="22"/>
          <w:szCs w:val="22"/>
        </w:rPr>
      </w:pPr>
      <w:r w:rsidRPr="00F476AE">
        <w:rPr>
          <w:b/>
          <w:sz w:val="22"/>
          <w:szCs w:val="22"/>
        </w:rPr>
        <w:t>Что нужно знать при выборе кадастрового инженера?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rFonts w:cs="Arial"/>
          <w:sz w:val="22"/>
          <w:szCs w:val="22"/>
        </w:rPr>
        <w:t xml:space="preserve">Выбор грамотного и квалифицированного специалиста – залог качества проведения кадастровых работ и подготовки достоверных технических документов. 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rFonts w:cs="Arial"/>
          <w:sz w:val="22"/>
          <w:szCs w:val="22"/>
        </w:rPr>
        <w:t xml:space="preserve">Управление Росреестра по Новосибирской области рекомендует проверять сведения о кадастровом инженере перед заключением договора подряда на выполнение работ. 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sz w:val="22"/>
          <w:szCs w:val="22"/>
        </w:rPr>
        <w:t>Кадастровые инженеры оформляют технические документы  (межевой план, технический план, акт обследования), качество которых влияет на срок и количество процедур, необходимых для осуществления государственного кадастрового учета объекта недвижимости.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sz w:val="22"/>
          <w:szCs w:val="22"/>
        </w:rPr>
        <w:t>У кадастрового инженера в обязательном порядке должны быть: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sz w:val="22"/>
          <w:szCs w:val="22"/>
        </w:rPr>
        <w:t>- своя личная печать, которой он утверждает подготовленные документы в бумажном виде;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sz w:val="22"/>
          <w:szCs w:val="22"/>
        </w:rPr>
        <w:t>- сертификат усиленной квалифицированной электронной подписи – для подготовки и подачи документов в электронном виде.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rFonts w:cs="Arial"/>
          <w:sz w:val="22"/>
          <w:szCs w:val="22"/>
        </w:rPr>
        <w:t>Актуальные сведения о кадастровых инженерах содержатся                   в Реестре кадастровых инженеров на официальном сайте Росреестра                       в разделе «</w:t>
      </w:r>
      <w:hyperlink r:id="rId8" w:tooltip="https://rosreestr.gov.ru/wps/portal/p/cc_ib_portal_services/cc_ib_sro_reestrs" w:history="1">
        <w:r w:rsidRPr="00F476AE">
          <w:rPr>
            <w:rStyle w:val="af1"/>
            <w:rFonts w:cs="Arial"/>
            <w:sz w:val="22"/>
            <w:szCs w:val="22"/>
          </w:rPr>
          <w:t>Электронные услуги и сервисы</w:t>
        </w:r>
      </w:hyperlink>
      <w:r w:rsidRPr="00F476AE">
        <w:rPr>
          <w:rFonts w:cs="Arial"/>
          <w:sz w:val="22"/>
          <w:szCs w:val="22"/>
        </w:rPr>
        <w:t xml:space="preserve">». 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sz w:val="22"/>
          <w:szCs w:val="22"/>
        </w:rPr>
        <w:t>С помощью данного сервиса можно получить информацию о любом кадастровом инженере: номер и дата выдачи его квалификационного аттестата, наличие членства в саморегулируемой организации                кадастровых инженеров (СРО), которое в соответствии с действующим законодательством обязательно.</w:t>
      </w:r>
    </w:p>
    <w:p w:rsidR="00F476AE" w:rsidRPr="00F476AE" w:rsidRDefault="00F476AE" w:rsidP="00F476AE">
      <w:pPr>
        <w:pStyle w:val="13"/>
        <w:ind w:firstLine="737"/>
        <w:rPr>
          <w:sz w:val="22"/>
          <w:szCs w:val="22"/>
        </w:rPr>
      </w:pPr>
      <w:r w:rsidRPr="00F476AE">
        <w:rPr>
          <w:sz w:val="22"/>
          <w:szCs w:val="22"/>
        </w:rPr>
        <w:t xml:space="preserve">Заявление на поиск кадастрового инженера также можно подать             на портале </w:t>
      </w:r>
      <w:hyperlink r:id="rId9" w:tooltip="https://www.gosuslugi.ru" w:history="1">
        <w:r w:rsidRPr="00F476AE">
          <w:rPr>
            <w:rStyle w:val="af1"/>
            <w:sz w:val="22"/>
            <w:szCs w:val="22"/>
          </w:rPr>
          <w:t>Госуслуг</w:t>
        </w:r>
      </w:hyperlink>
      <w:r w:rsidRPr="00F476AE">
        <w:rPr>
          <w:sz w:val="22"/>
          <w:szCs w:val="22"/>
        </w:rPr>
        <w:t xml:space="preserve"> и при помощи информации о результатах профессиональной деятельности специалистов выбрать квалифицированного кадастрового инженера и заключить с ним договор на выполнение работ.</w:t>
      </w:r>
    </w:p>
    <w:p w:rsidR="00F476AE" w:rsidRPr="00F476AE" w:rsidRDefault="00F476AE" w:rsidP="00F476AE">
      <w:pPr>
        <w:ind w:firstLine="709"/>
        <w:jc w:val="center"/>
        <w:rPr>
          <w:b/>
          <w:sz w:val="22"/>
          <w:szCs w:val="22"/>
        </w:rPr>
      </w:pPr>
      <w:r w:rsidRPr="00F476AE">
        <w:rPr>
          <w:b/>
          <w:sz w:val="22"/>
          <w:szCs w:val="22"/>
        </w:rPr>
        <w:t xml:space="preserve">Новосибирский Росреестр провел горячую линию </w:t>
      </w:r>
    </w:p>
    <w:p w:rsidR="00F476AE" w:rsidRPr="00F476AE" w:rsidRDefault="00F476AE" w:rsidP="00F476AE">
      <w:pPr>
        <w:ind w:firstLine="709"/>
        <w:jc w:val="center"/>
        <w:rPr>
          <w:b/>
          <w:sz w:val="22"/>
          <w:szCs w:val="22"/>
        </w:rPr>
      </w:pPr>
      <w:r w:rsidRPr="00F476AE">
        <w:rPr>
          <w:b/>
          <w:sz w:val="22"/>
          <w:szCs w:val="22"/>
        </w:rPr>
        <w:t>к Всероссийскому Дню правовой помощи детям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В преддверии Всероссийского Дня правовой помощи детям в Управлении Росреестра по Новосибирской области состоялась «горячая» телефонная линия по вопросам сделок с недвижимостью с участием несовершеннолетних. 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lastRenderedPageBreak/>
        <w:t>Публикуем ответ по одному из вопросов.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b/>
          <w:sz w:val="22"/>
          <w:szCs w:val="22"/>
        </w:rPr>
        <w:t>Какие документы необходимо представить для оформления сделки дарения доли в квартире на несовершеннолетнего ребенка?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Пакет документов будет включать: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- договор дарения;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- заявление о прекращении или переходе права дарителя;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- заявление о регистрации права общей долевой собственности ребенка;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- заявление о регистрации оставшейся доли дарителя, если выделяется доля из собственности или из имеющейся доли. 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А также прилагается документ, подтверждающий полномочия законного представителя ребенка (родителя, усыновителя или опекуна). Такими документами могут быть свидетельство о рождении, об усыновлении, судебный акт об установлении опеки.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Если планируется подарить </w:t>
      </w:r>
      <w:r w:rsidRPr="00F476AE">
        <w:rPr>
          <w:b/>
          <w:i/>
          <w:sz w:val="22"/>
          <w:szCs w:val="22"/>
        </w:rPr>
        <w:t>долю из общей собственности</w:t>
      </w:r>
      <w:r w:rsidRPr="00F476AE">
        <w:rPr>
          <w:sz w:val="22"/>
          <w:szCs w:val="22"/>
        </w:rPr>
        <w:t xml:space="preserve"> (совместной или долевой), то договор дарения необходимо </w:t>
      </w:r>
      <w:r w:rsidRPr="00F476AE">
        <w:rPr>
          <w:b/>
          <w:i/>
          <w:sz w:val="22"/>
          <w:szCs w:val="22"/>
        </w:rPr>
        <w:t>удостоверить у нотариуса</w:t>
      </w:r>
      <w:r w:rsidRPr="00F476AE">
        <w:rPr>
          <w:sz w:val="22"/>
          <w:szCs w:val="22"/>
        </w:rPr>
        <w:t xml:space="preserve">. В случае если передается целиком имеющаяся в собственности доля, вместо заявления о прекращении нужно представить заявление о переходе права. 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Ребенок 14-17 лет (включительно) участвует в сделках с недвижимостью самостоятельно с согласия законного представителя, то есть сам подписывает заявление и договор. Плательщиком государственной пошлины за регистрацию недвижимости может выступать как сам несовершеннолетний, так и его законный представитель. </w:t>
      </w:r>
    </w:p>
    <w:p w:rsidR="00F476AE" w:rsidRPr="00F476AE" w:rsidRDefault="00F476AE" w:rsidP="00F476AE">
      <w:pPr>
        <w:ind w:firstLine="708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Если ребенок не достиг 14 лет, все юридически значимые действия за него совершают родители, усыновители или опекуны, в том числе являются плательщиком государственной пошлины. </w:t>
      </w:r>
    </w:p>
    <w:p w:rsidR="00F476AE" w:rsidRPr="00F476AE" w:rsidRDefault="00F476AE" w:rsidP="00F476AE">
      <w:pPr>
        <w:ind w:firstLine="709"/>
        <w:jc w:val="center"/>
        <w:rPr>
          <w:sz w:val="22"/>
          <w:szCs w:val="22"/>
        </w:rPr>
      </w:pPr>
      <w:r w:rsidRPr="00F476AE">
        <w:rPr>
          <w:b/>
          <w:bCs/>
          <w:sz w:val="22"/>
          <w:szCs w:val="22"/>
        </w:rPr>
        <w:t>Свыше 7804 объектов недвижимости Новосибирской области внесены в реестр недвижимости как аварийные</w:t>
      </w:r>
    </w:p>
    <w:p w:rsidR="00F476AE" w:rsidRPr="00F476AE" w:rsidRDefault="00F476AE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Новосибирским Росреестром совместно с органами местного самоуправления продолжаются работы по внесению в Единый государственный реестр недвижимости (далее - ЕГРН)  сведений                            об аварийном жилье.</w:t>
      </w:r>
    </w:p>
    <w:p w:rsidR="00F476AE" w:rsidRPr="00F476AE" w:rsidRDefault="00F476AE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 Аварийными признаются многоквартирные дома, которые являются непригодными для проживания по техническим причинам.</w:t>
      </w:r>
    </w:p>
    <w:p w:rsidR="00F476AE" w:rsidRPr="00F476AE" w:rsidRDefault="00F476AE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 ЕГРН содержит сведения о 7 804 объектах недвижимости, признанных аварийными и непригодными для проживания. Из них 6 698 квартир и 896 многоквартирных домов.</w:t>
      </w:r>
    </w:p>
    <w:p w:rsidR="00F476AE" w:rsidRPr="00F476AE" w:rsidRDefault="00F476AE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 xml:space="preserve"> Признание многоквартирного дома аварийным осуществляется межведомственной комиссией на основании заявления о признании многоквартирного дома аварийным и заключения специализированной организации, проводившей обследование многоквартирного дома.</w:t>
      </w:r>
    </w:p>
    <w:p w:rsidR="00F476AE" w:rsidRPr="00F476AE" w:rsidRDefault="00F476AE" w:rsidP="00F476AE">
      <w:pPr>
        <w:ind w:firstLine="709"/>
        <w:jc w:val="both"/>
        <w:rPr>
          <w:sz w:val="22"/>
          <w:szCs w:val="22"/>
        </w:rPr>
      </w:pPr>
      <w:r w:rsidRPr="00F476AE">
        <w:rPr>
          <w:sz w:val="22"/>
          <w:szCs w:val="22"/>
        </w:rPr>
        <w:t>«</w:t>
      </w:r>
      <w:r w:rsidRPr="00F476AE">
        <w:rPr>
          <w:i/>
          <w:iCs/>
          <w:sz w:val="22"/>
          <w:szCs w:val="22"/>
        </w:rPr>
        <w:t xml:space="preserve">По результатам рассмотрения заявления органом местного самоуправления принимается решение о признании дома аварийным. Указанное решение направляется в Управление Росреестра по Новосибирской области для внесения соответствующих сведений в ЕГРН. Узнать об аварийности можно, получив выписку из ЕГРН об объекте недвижимости», – </w:t>
      </w:r>
      <w:r w:rsidRPr="00F476AE">
        <w:rPr>
          <w:sz w:val="22"/>
          <w:szCs w:val="22"/>
        </w:rPr>
        <w:t>сообщила Наталья Ивчатова,  заместитель руководителя Управления Росреестра по Новосибирской области.</w:t>
      </w:r>
    </w:p>
    <w:p w:rsidR="00F476AE" w:rsidRPr="00F476AE" w:rsidRDefault="00F476AE" w:rsidP="00F476AE">
      <w:pPr>
        <w:ind w:firstLine="709"/>
        <w:jc w:val="both"/>
        <w:rPr>
          <w:bCs/>
          <w:i/>
          <w:sz w:val="22"/>
          <w:szCs w:val="22"/>
        </w:rPr>
      </w:pPr>
      <w:r w:rsidRPr="00F476AE">
        <w:rPr>
          <w:sz w:val="22"/>
          <w:szCs w:val="22"/>
        </w:rPr>
        <w:t>С 2022 года в реестр недвижимости вносятся сведения об аварийности жилья, подлежащего сносу или реконструкции.</w:t>
      </w:r>
    </w:p>
    <w:p w:rsidR="00F476AE" w:rsidRPr="00F476AE" w:rsidRDefault="00F476AE" w:rsidP="00F476AE">
      <w:pPr>
        <w:pStyle w:val="afd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0"/>
          <w:szCs w:val="20"/>
        </w:rPr>
      </w:pPr>
      <w:r w:rsidRPr="00F476AE">
        <w:rPr>
          <w:rFonts w:ascii="Segoe UI" w:eastAsia="Arial" w:hAnsi="Segoe UI" w:cs="Segoe UI"/>
          <w:b/>
          <w:noProof/>
          <w:sz w:val="20"/>
          <w:szCs w:val="20"/>
          <w:lang w:eastAsia="en-US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травы  и предупреждает землепользователей: 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 апреля 2012 года № 390, запрещено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полях. 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</w:t>
      </w:r>
      <w:r w:rsidRPr="00F476AE">
        <w:rPr>
          <w:rFonts w:ascii="Segoe UI" w:hAnsi="Segoe UI" w:cs="Segoe UI"/>
          <w:sz w:val="20"/>
          <w:szCs w:val="20"/>
        </w:rPr>
        <w:lastRenderedPageBreak/>
        <w:t xml:space="preserve">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сплошном выжигании растительности (палами), на территории Новосибирской области.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>- на Единый телефон экстренных служб – 112;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>- в Пожарно-спасательную службу МЧС России – 101;</w:t>
      </w:r>
    </w:p>
    <w:p w:rsidR="00F476AE" w:rsidRPr="00F476AE" w:rsidRDefault="00F476AE" w:rsidP="00F476AE">
      <w:pPr>
        <w:autoSpaceDE w:val="0"/>
        <w:autoSpaceDN w:val="0"/>
        <w:adjustRightInd w:val="0"/>
        <w:ind w:firstLine="709"/>
        <w:jc w:val="both"/>
        <w:rPr>
          <w:rStyle w:val="apple-converted-space"/>
          <w:rFonts w:ascii="Segoe UI" w:hAnsi="Segoe UI" w:cs="Segoe UI"/>
          <w:sz w:val="20"/>
          <w:szCs w:val="20"/>
        </w:rPr>
      </w:pPr>
      <w:r w:rsidRPr="00F476AE">
        <w:rPr>
          <w:rFonts w:ascii="Segoe UI" w:hAnsi="Segoe UI" w:cs="Segoe UI"/>
          <w:sz w:val="20"/>
          <w:szCs w:val="20"/>
        </w:rPr>
        <w:t>- «Единый телефон доверия» ГУ МЧС России по Новосибирской области - 8(383) 239-99-99;</w:t>
      </w:r>
    </w:p>
    <w:p w:rsidR="000750E5" w:rsidRPr="00F476AE" w:rsidRDefault="0060615C" w:rsidP="00F476AE">
      <w:pPr>
        <w:jc w:val="right"/>
        <w:rPr>
          <w:rFonts w:ascii="Segoe UI" w:eastAsia="Quattrocento Sans" w:hAnsi="Segoe UI" w:cs="Segoe UI"/>
          <w:b/>
          <w:i/>
          <w:color w:val="000000"/>
          <w:sz w:val="16"/>
          <w:szCs w:val="16"/>
        </w:rPr>
      </w:pPr>
      <w:r w:rsidRPr="00F476AE">
        <w:rPr>
          <w:sz w:val="16"/>
          <w:szCs w:val="16"/>
        </w:rPr>
        <w:t xml:space="preserve">  </w:t>
      </w:r>
      <w:r w:rsidRPr="00F476AE">
        <w:rPr>
          <w:rFonts w:ascii="Segoe UI" w:eastAsia="Quattrocento Sans" w:hAnsi="Segoe UI" w:cs="Segoe UI"/>
          <w:b/>
          <w:i/>
          <w:color w:val="000000"/>
          <w:sz w:val="16"/>
          <w:szCs w:val="16"/>
        </w:rPr>
        <w:t>материал подготовлен Управлением Росреес</w:t>
      </w:r>
      <w:r w:rsidRPr="00F476AE">
        <w:rPr>
          <w:rFonts w:ascii="Segoe UI" w:eastAsia="Quattrocento Sans" w:hAnsi="Segoe UI" w:cs="Segoe UI"/>
          <w:b/>
          <w:i/>
          <w:color w:val="000000"/>
          <w:sz w:val="16"/>
          <w:szCs w:val="16"/>
        </w:rPr>
        <w:t xml:space="preserve">тра </w:t>
      </w:r>
    </w:p>
    <w:p w:rsidR="000750E5" w:rsidRPr="00F476AE" w:rsidRDefault="0060615C" w:rsidP="00F476AE">
      <w:pPr>
        <w:jc w:val="right"/>
        <w:rPr>
          <w:rFonts w:ascii="Segoe UI" w:eastAsia="Quattrocento Sans" w:hAnsi="Segoe UI" w:cs="Segoe UI"/>
          <w:b/>
          <w:i/>
          <w:color w:val="000000"/>
          <w:sz w:val="16"/>
          <w:szCs w:val="16"/>
        </w:rPr>
      </w:pPr>
      <w:r w:rsidRPr="00F476AE">
        <w:rPr>
          <w:rFonts w:ascii="Segoe UI" w:eastAsia="Quattrocento Sans" w:hAnsi="Segoe UI" w:cs="Segoe UI"/>
          <w:b/>
          <w:i/>
          <w:color w:val="000000"/>
          <w:sz w:val="16"/>
          <w:szCs w:val="16"/>
        </w:rPr>
        <w:t xml:space="preserve">по Новосибирской области </w:t>
      </w:r>
    </w:p>
    <w:p w:rsidR="000750E5" w:rsidRPr="00F476AE" w:rsidRDefault="00F476AE" w:rsidP="00F476AE">
      <w:pPr>
        <w:jc w:val="right"/>
        <w:rPr>
          <w:rFonts w:ascii="Segoe UI" w:hAnsi="Segoe UI" w:cs="Segoe UI"/>
          <w:b/>
          <w:bCs/>
          <w:i/>
          <w:iCs/>
          <w:color w:val="0070C0"/>
          <w:sz w:val="16"/>
          <w:szCs w:val="16"/>
        </w:rPr>
      </w:pPr>
      <w:r>
        <w:rPr>
          <w:noProof/>
        </w:rPr>
        <w:pict>
          <v:shape id="_x0000_s1026" o:spid="_x0000_s1026" style="position:absolute;left:0;text-align:left;margin-left:-3.3pt;margin-top:7.1pt;width:490.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0750E5" w:rsidRPr="00F476AE" w:rsidRDefault="0060615C" w:rsidP="00F476AE">
      <w:pPr>
        <w:jc w:val="both"/>
        <w:rPr>
          <w:rFonts w:ascii="Segoe UI" w:hAnsi="Segoe UI" w:cs="Segoe UI"/>
          <w:b/>
          <w:bCs/>
          <w:sz w:val="16"/>
          <w:szCs w:val="16"/>
        </w:rPr>
      </w:pPr>
      <w:r w:rsidRPr="00F476AE">
        <w:rPr>
          <w:rFonts w:ascii="Segoe UI" w:hAnsi="Segoe UI" w:cs="Segoe UI"/>
          <w:b/>
          <w:bCs/>
          <w:sz w:val="16"/>
          <w:szCs w:val="16"/>
        </w:rPr>
        <w:t>Об Управлении Росреестра по Новосибирской области</w:t>
      </w:r>
    </w:p>
    <w:p w:rsidR="000750E5" w:rsidRPr="00F476AE" w:rsidRDefault="0060615C" w:rsidP="00F476AE">
      <w:pPr>
        <w:jc w:val="both"/>
        <w:rPr>
          <w:rFonts w:ascii="Segoe UI" w:hAnsi="Segoe UI" w:cs="Segoe UI"/>
          <w:b/>
          <w:bCs/>
          <w:sz w:val="16"/>
          <w:szCs w:val="16"/>
        </w:rPr>
      </w:pPr>
      <w:r w:rsidRPr="00F476AE">
        <w:rPr>
          <w:rFonts w:ascii="Segoe UI" w:hAnsi="Segoe UI" w:cs="Segoe UI"/>
          <w:sz w:val="16"/>
          <w:szCs w:val="16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</w:t>
      </w:r>
      <w:r w:rsidRPr="00F476AE">
        <w:rPr>
          <w:rFonts w:ascii="Segoe UI" w:hAnsi="Segoe UI" w:cs="Segoe UI"/>
          <w:sz w:val="16"/>
          <w:szCs w:val="16"/>
        </w:rPr>
        <w:t>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</w:t>
      </w:r>
      <w:r w:rsidRPr="00F476AE">
        <w:rPr>
          <w:rFonts w:ascii="Segoe UI" w:hAnsi="Segoe UI" w:cs="Segoe UI"/>
          <w:sz w:val="16"/>
          <w:szCs w:val="16"/>
        </w:rPr>
        <w:t>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</w:t>
      </w:r>
      <w:r w:rsidRPr="00F476AE">
        <w:rPr>
          <w:rFonts w:ascii="Segoe UI" w:hAnsi="Segoe UI" w:cs="Segoe UI"/>
          <w:sz w:val="16"/>
          <w:szCs w:val="16"/>
        </w:rPr>
        <w:t>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</w:t>
      </w:r>
      <w:r w:rsidRPr="00F476AE">
        <w:rPr>
          <w:rFonts w:ascii="Segoe UI" w:hAnsi="Segoe UI" w:cs="Segoe UI"/>
          <w:sz w:val="16"/>
          <w:szCs w:val="16"/>
        </w:rPr>
        <w:t xml:space="preserve">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0750E5" w:rsidRPr="00F476AE" w:rsidRDefault="000750E5" w:rsidP="00F476A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0750E5" w:rsidRPr="00F476AE" w:rsidRDefault="0060615C" w:rsidP="00F476A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6"/>
          <w:szCs w:val="16"/>
        </w:rPr>
      </w:pPr>
      <w:r w:rsidRPr="00F476AE">
        <w:rPr>
          <w:rFonts w:ascii="Segoe UI" w:hAnsi="Segoe UI" w:cs="Segoe UI"/>
          <w:b/>
          <w:color w:val="000000"/>
          <w:sz w:val="16"/>
          <w:szCs w:val="16"/>
        </w:rPr>
        <w:t>Контакты для СМИ:</w:t>
      </w:r>
    </w:p>
    <w:p w:rsidR="000750E5" w:rsidRPr="00F476AE" w:rsidRDefault="0060615C" w:rsidP="00F476AE">
      <w:pPr>
        <w:jc w:val="both"/>
        <w:rPr>
          <w:rFonts w:ascii="Segoe UI" w:hAnsi="Segoe UI" w:cs="Segoe UI"/>
          <w:sz w:val="16"/>
          <w:szCs w:val="16"/>
        </w:rPr>
      </w:pPr>
      <w:r w:rsidRPr="00F476AE">
        <w:rPr>
          <w:rFonts w:ascii="Segoe UI" w:hAnsi="Segoe UI" w:cs="Segoe UI"/>
          <w:sz w:val="16"/>
          <w:szCs w:val="16"/>
        </w:rPr>
        <w:t>Управление Росреестра по Новосибирской области</w:t>
      </w:r>
      <w:bookmarkStart w:id="1" w:name="_GoBack"/>
      <w:bookmarkEnd w:id="1"/>
    </w:p>
    <w:p w:rsidR="000750E5" w:rsidRPr="00F476AE" w:rsidRDefault="0060615C" w:rsidP="00F476AE">
      <w:pPr>
        <w:jc w:val="both"/>
        <w:rPr>
          <w:rFonts w:ascii="Segoe UI" w:hAnsi="Segoe UI" w:cs="Segoe UI"/>
          <w:sz w:val="16"/>
          <w:szCs w:val="16"/>
        </w:rPr>
      </w:pPr>
      <w:r w:rsidRPr="00F476AE">
        <w:rPr>
          <w:rFonts w:ascii="Segoe UI" w:hAnsi="Segoe UI" w:cs="Segoe UI"/>
          <w:sz w:val="16"/>
          <w:szCs w:val="16"/>
        </w:rPr>
        <w:t>630091, г. Новосибирск, ул. Державина, д. 28</w:t>
      </w:r>
    </w:p>
    <w:p w:rsidR="000750E5" w:rsidRPr="00F476AE" w:rsidRDefault="0060615C" w:rsidP="00F476AE">
      <w:pPr>
        <w:jc w:val="both"/>
        <w:rPr>
          <w:rFonts w:ascii="Segoe UI" w:hAnsi="Segoe UI" w:cs="Segoe UI"/>
          <w:color w:val="000000"/>
          <w:sz w:val="16"/>
          <w:szCs w:val="16"/>
        </w:rPr>
      </w:pPr>
      <w:r w:rsidRPr="00F476AE">
        <w:rPr>
          <w:rFonts w:ascii="Segoe UI" w:hAnsi="Segoe UI" w:cs="Segoe UI"/>
          <w:color w:val="000000"/>
          <w:sz w:val="16"/>
          <w:szCs w:val="16"/>
        </w:rPr>
        <w:t xml:space="preserve">Электронная почта: </w:t>
      </w:r>
    </w:p>
    <w:p w:rsidR="000750E5" w:rsidRPr="00F476AE" w:rsidRDefault="0060615C" w:rsidP="00F476AE">
      <w:pPr>
        <w:jc w:val="both"/>
        <w:rPr>
          <w:rFonts w:ascii="Segoe UI" w:hAnsi="Segoe UI" w:cs="Segoe UI"/>
          <w:color w:val="000000"/>
          <w:sz w:val="16"/>
          <w:szCs w:val="16"/>
        </w:rPr>
      </w:pPr>
      <w:hyperlink r:id="rId10" w:history="1">
        <w:r w:rsidRPr="00F476AE">
          <w:rPr>
            <w:rStyle w:val="af1"/>
            <w:rFonts w:ascii="Segoe UI" w:hAnsi="Segoe UI" w:cs="Segoe UI"/>
            <w:sz w:val="16"/>
            <w:szCs w:val="16"/>
            <w:lang w:val="en-US"/>
          </w:rPr>
          <w:t>oko</w:t>
        </w:r>
        <w:r w:rsidRPr="00F476AE">
          <w:rPr>
            <w:rStyle w:val="af1"/>
            <w:rFonts w:ascii="Segoe UI" w:hAnsi="Segoe UI" w:cs="Segoe UI"/>
            <w:sz w:val="16"/>
            <w:szCs w:val="16"/>
          </w:rPr>
          <w:t>@</w:t>
        </w:r>
        <w:r w:rsidRPr="00F476AE">
          <w:rPr>
            <w:rStyle w:val="af1"/>
            <w:rFonts w:ascii="Segoe UI" w:hAnsi="Segoe UI" w:cs="Segoe UI"/>
            <w:sz w:val="16"/>
            <w:szCs w:val="16"/>
            <w:lang w:val="en-US"/>
          </w:rPr>
          <w:t>r</w:t>
        </w:r>
        <w:r w:rsidRPr="00F476AE">
          <w:rPr>
            <w:rStyle w:val="af1"/>
            <w:rFonts w:ascii="Segoe UI" w:hAnsi="Segoe UI" w:cs="Segoe UI"/>
            <w:sz w:val="16"/>
            <w:szCs w:val="16"/>
          </w:rPr>
          <w:t>54</w:t>
        </w:r>
        <w:r w:rsidRPr="00F476AE">
          <w:rPr>
            <w:rStyle w:val="af1"/>
            <w:rFonts w:ascii="Segoe UI" w:hAnsi="Segoe UI" w:cs="Segoe UI"/>
            <w:sz w:val="16"/>
            <w:szCs w:val="16"/>
          </w:rPr>
          <w:t>.</w:t>
        </w:r>
        <w:r w:rsidRPr="00F476AE">
          <w:rPr>
            <w:rStyle w:val="af1"/>
            <w:rFonts w:ascii="Segoe UI" w:hAnsi="Segoe UI" w:cs="Segoe UI"/>
            <w:sz w:val="16"/>
            <w:szCs w:val="16"/>
            <w:lang w:val="en-US"/>
          </w:rPr>
          <w:t>rosreestr</w:t>
        </w:r>
        <w:r w:rsidRPr="00F476AE">
          <w:rPr>
            <w:rStyle w:val="af1"/>
            <w:rFonts w:ascii="Segoe UI" w:hAnsi="Segoe UI" w:cs="Segoe UI"/>
            <w:sz w:val="16"/>
            <w:szCs w:val="16"/>
          </w:rPr>
          <w:t>.</w:t>
        </w:r>
        <w:r w:rsidRPr="00F476AE">
          <w:rPr>
            <w:rStyle w:val="af1"/>
            <w:rFonts w:ascii="Segoe UI" w:hAnsi="Segoe UI" w:cs="Segoe UI"/>
            <w:sz w:val="16"/>
            <w:szCs w:val="16"/>
            <w:lang w:val="en-US"/>
          </w:rPr>
          <w:t>ru</w:t>
        </w:r>
      </w:hyperlink>
      <w:r w:rsidRPr="00F476AE">
        <w:rPr>
          <w:rFonts w:ascii="Segoe UI" w:hAnsi="Segoe UI" w:cs="Segoe UI"/>
          <w:color w:val="000000"/>
          <w:sz w:val="16"/>
          <w:szCs w:val="16"/>
        </w:rPr>
        <w:t xml:space="preserve"> </w:t>
      </w:r>
    </w:p>
    <w:p w:rsidR="000750E5" w:rsidRPr="00F476AE" w:rsidRDefault="0060615C" w:rsidP="00F476AE">
      <w:pPr>
        <w:jc w:val="both"/>
        <w:rPr>
          <w:rFonts w:ascii="Segoe UI" w:hAnsi="Segoe UI" w:cs="Segoe UI"/>
          <w:color w:val="000000"/>
          <w:sz w:val="16"/>
          <w:szCs w:val="16"/>
        </w:rPr>
      </w:pPr>
      <w:r w:rsidRPr="00F476AE">
        <w:rPr>
          <w:rFonts w:ascii="Segoe UI" w:hAnsi="Segoe UI" w:cs="Segoe UI"/>
          <w:color w:val="000000"/>
          <w:sz w:val="16"/>
          <w:szCs w:val="16"/>
        </w:rPr>
        <w:t xml:space="preserve">Сайт: </w:t>
      </w:r>
      <w:hyperlink r:id="rId11" w:history="1">
        <w:r w:rsidRPr="00F476AE">
          <w:rPr>
            <w:rFonts w:ascii="Segoe UI" w:hAnsi="Segoe UI" w:cs="Segoe UI"/>
            <w:color w:val="0000FF"/>
            <w:sz w:val="16"/>
            <w:szCs w:val="16"/>
            <w:u w:val="single"/>
          </w:rPr>
          <w:t>Росреестр</w:t>
        </w:r>
      </w:hyperlink>
    </w:p>
    <w:p w:rsidR="000750E5" w:rsidRPr="00F476AE" w:rsidRDefault="0060615C" w:rsidP="00F476AE">
      <w:pPr>
        <w:jc w:val="both"/>
        <w:rPr>
          <w:sz w:val="16"/>
          <w:szCs w:val="16"/>
        </w:rPr>
      </w:pPr>
      <w:r w:rsidRPr="00F476AE">
        <w:rPr>
          <w:rFonts w:ascii="Segoe UI" w:hAnsi="Segoe UI" w:cs="Segoe UI"/>
          <w:color w:val="000000"/>
          <w:sz w:val="16"/>
          <w:szCs w:val="16"/>
        </w:rPr>
        <w:t xml:space="preserve">Соцсети: </w:t>
      </w:r>
      <w:hyperlink r:id="rId12" w:history="1">
        <w:r w:rsidRPr="00F476AE">
          <w:rPr>
            <w:rFonts w:ascii="Segoe UI" w:hAnsi="Segoe UI" w:cs="Segoe UI"/>
            <w:color w:val="0000FF"/>
            <w:sz w:val="16"/>
            <w:szCs w:val="16"/>
            <w:u w:val="single"/>
          </w:rPr>
          <w:t>ВКонтакте</w:t>
        </w:r>
      </w:hyperlink>
      <w:r w:rsidRPr="00F476AE">
        <w:rPr>
          <w:rFonts w:ascii="Segoe UI" w:hAnsi="Segoe UI" w:cs="Segoe UI"/>
          <w:color w:val="000000"/>
          <w:sz w:val="16"/>
          <w:szCs w:val="16"/>
        </w:rPr>
        <w:t xml:space="preserve">, </w:t>
      </w:r>
      <w:hyperlink r:id="rId13" w:history="1">
        <w:r w:rsidRPr="00F476AE">
          <w:rPr>
            <w:rStyle w:val="af1"/>
            <w:rFonts w:ascii="Segoe UI" w:hAnsi="Segoe UI" w:cs="Segoe UI"/>
            <w:sz w:val="16"/>
            <w:szCs w:val="16"/>
          </w:rPr>
          <w:t>Одноклассники</w:t>
        </w:r>
      </w:hyperlink>
      <w:r w:rsidRPr="00F476AE">
        <w:rPr>
          <w:rStyle w:val="af1"/>
          <w:rFonts w:ascii="Segoe UI" w:hAnsi="Segoe UI" w:cs="Segoe UI"/>
          <w:sz w:val="16"/>
          <w:szCs w:val="16"/>
        </w:rPr>
        <w:t xml:space="preserve">, </w:t>
      </w:r>
      <w:hyperlink r:id="rId14" w:history="1">
        <w:r w:rsidRPr="00F476AE">
          <w:rPr>
            <w:rStyle w:val="af1"/>
            <w:rFonts w:ascii="Segoe UI" w:hAnsi="Segoe UI" w:cs="Segoe UI"/>
            <w:sz w:val="16"/>
            <w:szCs w:val="16"/>
          </w:rPr>
          <w:t>Яндекс</w:t>
        </w:r>
        <w:r w:rsidRPr="00F476AE">
          <w:rPr>
            <w:rStyle w:val="af1"/>
            <w:rFonts w:ascii="Segoe UI" w:hAnsi="Segoe UI" w:cs="Segoe UI"/>
            <w:sz w:val="16"/>
            <w:szCs w:val="16"/>
          </w:rPr>
          <w:t>.</w:t>
        </w:r>
        <w:r w:rsidRPr="00F476AE">
          <w:rPr>
            <w:rStyle w:val="af1"/>
            <w:rFonts w:ascii="Segoe UI" w:hAnsi="Segoe UI" w:cs="Segoe UI"/>
            <w:sz w:val="16"/>
            <w:szCs w:val="16"/>
          </w:rPr>
          <w:t>Дзен</w:t>
        </w:r>
      </w:hyperlink>
      <w:r w:rsidRPr="00F476AE">
        <w:rPr>
          <w:rStyle w:val="af1"/>
          <w:rFonts w:ascii="Segoe UI" w:hAnsi="Segoe UI" w:cs="Segoe UI"/>
          <w:sz w:val="16"/>
          <w:szCs w:val="16"/>
        </w:rPr>
        <w:t xml:space="preserve">, </w:t>
      </w:r>
      <w:hyperlink r:id="rId15" w:history="1">
        <w:r w:rsidRPr="00F476AE">
          <w:rPr>
            <w:rStyle w:val="af1"/>
            <w:rFonts w:ascii="Segoe UI" w:hAnsi="Segoe UI" w:cs="Segoe UI"/>
            <w:sz w:val="16"/>
            <w:szCs w:val="16"/>
          </w:rPr>
          <w:t>Телеграм</w:t>
        </w:r>
      </w:hyperlink>
    </w:p>
    <w:sectPr w:rsidR="000750E5" w:rsidRPr="00F476AE" w:rsidSect="00F476AE">
      <w:pgSz w:w="11906" w:h="16838"/>
      <w:pgMar w:top="28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15C" w:rsidRDefault="0060615C">
      <w:r>
        <w:separator/>
      </w:r>
    </w:p>
  </w:endnote>
  <w:endnote w:type="continuationSeparator" w:id="0">
    <w:p w:rsidR="0060615C" w:rsidRDefault="0060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15C" w:rsidRDefault="0060615C">
      <w:r>
        <w:separator/>
      </w:r>
    </w:p>
  </w:footnote>
  <w:footnote w:type="continuationSeparator" w:id="0">
    <w:p w:rsidR="0060615C" w:rsidRDefault="00606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15E25"/>
    <w:multiLevelType w:val="hybridMultilevel"/>
    <w:tmpl w:val="0778BFD2"/>
    <w:lvl w:ilvl="0" w:tplc="68FAC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755229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5ABE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71ED2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001A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7A92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228A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4CEF6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F612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0B9298D"/>
    <w:multiLevelType w:val="hybridMultilevel"/>
    <w:tmpl w:val="8A3471CA"/>
    <w:lvl w:ilvl="0" w:tplc="F2D2FE90">
      <w:start w:val="1"/>
      <w:numFmt w:val="decimal"/>
      <w:lvlText w:val="%1)"/>
      <w:lvlJc w:val="left"/>
      <w:pPr>
        <w:ind w:left="907" w:hanging="360"/>
      </w:pPr>
    </w:lvl>
    <w:lvl w:ilvl="1" w:tplc="A37C4DF0">
      <w:start w:val="1"/>
      <w:numFmt w:val="lowerLetter"/>
      <w:lvlText w:val="%2."/>
      <w:lvlJc w:val="left"/>
      <w:pPr>
        <w:ind w:left="1627" w:hanging="360"/>
      </w:pPr>
    </w:lvl>
    <w:lvl w:ilvl="2" w:tplc="63620B58">
      <w:start w:val="1"/>
      <w:numFmt w:val="lowerRoman"/>
      <w:lvlText w:val="%3."/>
      <w:lvlJc w:val="right"/>
      <w:pPr>
        <w:ind w:left="2347" w:hanging="180"/>
      </w:pPr>
    </w:lvl>
    <w:lvl w:ilvl="3" w:tplc="70FAB55E">
      <w:start w:val="1"/>
      <w:numFmt w:val="decimal"/>
      <w:lvlText w:val="%4."/>
      <w:lvlJc w:val="left"/>
      <w:pPr>
        <w:ind w:left="3067" w:hanging="360"/>
      </w:pPr>
    </w:lvl>
    <w:lvl w:ilvl="4" w:tplc="4D065D06">
      <w:start w:val="1"/>
      <w:numFmt w:val="lowerLetter"/>
      <w:lvlText w:val="%5."/>
      <w:lvlJc w:val="left"/>
      <w:pPr>
        <w:ind w:left="3787" w:hanging="360"/>
      </w:pPr>
    </w:lvl>
    <w:lvl w:ilvl="5" w:tplc="37B0B31A">
      <w:start w:val="1"/>
      <w:numFmt w:val="lowerRoman"/>
      <w:lvlText w:val="%6."/>
      <w:lvlJc w:val="right"/>
      <w:pPr>
        <w:ind w:left="4507" w:hanging="180"/>
      </w:pPr>
    </w:lvl>
    <w:lvl w:ilvl="6" w:tplc="7C88C9C8">
      <w:start w:val="1"/>
      <w:numFmt w:val="decimal"/>
      <w:lvlText w:val="%7."/>
      <w:lvlJc w:val="left"/>
      <w:pPr>
        <w:ind w:left="5227" w:hanging="360"/>
      </w:pPr>
    </w:lvl>
    <w:lvl w:ilvl="7" w:tplc="AF7A6BD6">
      <w:start w:val="1"/>
      <w:numFmt w:val="lowerLetter"/>
      <w:lvlText w:val="%8."/>
      <w:lvlJc w:val="left"/>
      <w:pPr>
        <w:ind w:left="5947" w:hanging="360"/>
      </w:pPr>
    </w:lvl>
    <w:lvl w:ilvl="8" w:tplc="8DCC55D4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1464FF5"/>
    <w:multiLevelType w:val="hybridMultilevel"/>
    <w:tmpl w:val="76F06EA6"/>
    <w:lvl w:ilvl="0" w:tplc="63B4484A">
      <w:start w:val="1"/>
      <w:numFmt w:val="decimal"/>
      <w:lvlText w:val="%1."/>
      <w:lvlJc w:val="left"/>
      <w:pPr>
        <w:ind w:left="6740" w:hanging="360"/>
      </w:pPr>
    </w:lvl>
    <w:lvl w:ilvl="1" w:tplc="D17C34E8">
      <w:start w:val="1"/>
      <w:numFmt w:val="lowerLetter"/>
      <w:lvlText w:val="%2."/>
      <w:lvlJc w:val="left"/>
      <w:pPr>
        <w:ind w:left="1440" w:hanging="360"/>
      </w:pPr>
    </w:lvl>
    <w:lvl w:ilvl="2" w:tplc="FCD287C8">
      <w:start w:val="1"/>
      <w:numFmt w:val="lowerRoman"/>
      <w:lvlText w:val="%3."/>
      <w:lvlJc w:val="right"/>
      <w:pPr>
        <w:ind w:left="2160" w:hanging="180"/>
      </w:pPr>
    </w:lvl>
    <w:lvl w:ilvl="3" w:tplc="AE4AF882">
      <w:start w:val="1"/>
      <w:numFmt w:val="decimal"/>
      <w:lvlText w:val="%4."/>
      <w:lvlJc w:val="left"/>
      <w:pPr>
        <w:ind w:left="2880" w:hanging="360"/>
      </w:pPr>
    </w:lvl>
    <w:lvl w:ilvl="4" w:tplc="5156C23C">
      <w:start w:val="1"/>
      <w:numFmt w:val="lowerLetter"/>
      <w:lvlText w:val="%5."/>
      <w:lvlJc w:val="left"/>
      <w:pPr>
        <w:ind w:left="3600" w:hanging="360"/>
      </w:pPr>
    </w:lvl>
    <w:lvl w:ilvl="5" w:tplc="F3F6D1E2">
      <w:start w:val="1"/>
      <w:numFmt w:val="lowerRoman"/>
      <w:lvlText w:val="%6."/>
      <w:lvlJc w:val="right"/>
      <w:pPr>
        <w:ind w:left="4320" w:hanging="180"/>
      </w:pPr>
    </w:lvl>
    <w:lvl w:ilvl="6" w:tplc="40882BE6">
      <w:start w:val="1"/>
      <w:numFmt w:val="decimal"/>
      <w:lvlText w:val="%7."/>
      <w:lvlJc w:val="left"/>
      <w:pPr>
        <w:ind w:left="5040" w:hanging="360"/>
      </w:pPr>
    </w:lvl>
    <w:lvl w:ilvl="7" w:tplc="9CECB16E">
      <w:start w:val="1"/>
      <w:numFmt w:val="lowerLetter"/>
      <w:lvlText w:val="%8."/>
      <w:lvlJc w:val="left"/>
      <w:pPr>
        <w:ind w:left="5760" w:hanging="360"/>
      </w:pPr>
    </w:lvl>
    <w:lvl w:ilvl="8" w:tplc="59B4E29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B127B"/>
    <w:multiLevelType w:val="hybridMultilevel"/>
    <w:tmpl w:val="7790453A"/>
    <w:lvl w:ilvl="0" w:tplc="46AECDB6">
      <w:start w:val="1"/>
      <w:numFmt w:val="decimal"/>
      <w:lvlText w:val="%1)"/>
      <w:lvlJc w:val="left"/>
      <w:pPr>
        <w:ind w:left="720" w:hanging="360"/>
      </w:pPr>
    </w:lvl>
    <w:lvl w:ilvl="1" w:tplc="483A3114">
      <w:start w:val="1"/>
      <w:numFmt w:val="lowerLetter"/>
      <w:lvlText w:val="%2."/>
      <w:lvlJc w:val="left"/>
      <w:pPr>
        <w:ind w:left="1440" w:hanging="360"/>
      </w:pPr>
    </w:lvl>
    <w:lvl w:ilvl="2" w:tplc="210AFDC4">
      <w:start w:val="1"/>
      <w:numFmt w:val="lowerRoman"/>
      <w:lvlText w:val="%3."/>
      <w:lvlJc w:val="right"/>
      <w:pPr>
        <w:ind w:left="2160" w:hanging="180"/>
      </w:pPr>
    </w:lvl>
    <w:lvl w:ilvl="3" w:tplc="FE34D8DE">
      <w:start w:val="1"/>
      <w:numFmt w:val="decimal"/>
      <w:lvlText w:val="%4."/>
      <w:lvlJc w:val="left"/>
      <w:pPr>
        <w:ind w:left="2880" w:hanging="360"/>
      </w:pPr>
    </w:lvl>
    <w:lvl w:ilvl="4" w:tplc="7DC69400">
      <w:start w:val="1"/>
      <w:numFmt w:val="lowerLetter"/>
      <w:lvlText w:val="%5."/>
      <w:lvlJc w:val="left"/>
      <w:pPr>
        <w:ind w:left="3600" w:hanging="360"/>
      </w:pPr>
    </w:lvl>
    <w:lvl w:ilvl="5" w:tplc="2AD0EE22">
      <w:start w:val="1"/>
      <w:numFmt w:val="lowerRoman"/>
      <w:lvlText w:val="%6."/>
      <w:lvlJc w:val="right"/>
      <w:pPr>
        <w:ind w:left="4320" w:hanging="180"/>
      </w:pPr>
    </w:lvl>
    <w:lvl w:ilvl="6" w:tplc="22F437BA">
      <w:start w:val="1"/>
      <w:numFmt w:val="decimal"/>
      <w:lvlText w:val="%7."/>
      <w:lvlJc w:val="left"/>
      <w:pPr>
        <w:ind w:left="5040" w:hanging="360"/>
      </w:pPr>
    </w:lvl>
    <w:lvl w:ilvl="7" w:tplc="63AC5C7E">
      <w:start w:val="1"/>
      <w:numFmt w:val="lowerLetter"/>
      <w:lvlText w:val="%8."/>
      <w:lvlJc w:val="left"/>
      <w:pPr>
        <w:ind w:left="5760" w:hanging="360"/>
      </w:pPr>
    </w:lvl>
    <w:lvl w:ilvl="8" w:tplc="A2D695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A4745"/>
    <w:multiLevelType w:val="hybridMultilevel"/>
    <w:tmpl w:val="E8CA18E4"/>
    <w:lvl w:ilvl="0" w:tplc="230CDA72">
      <w:start w:val="1"/>
      <w:numFmt w:val="decimal"/>
      <w:lvlText w:val="%1."/>
      <w:lvlJc w:val="left"/>
      <w:pPr>
        <w:ind w:left="720" w:hanging="360"/>
      </w:pPr>
    </w:lvl>
    <w:lvl w:ilvl="1" w:tplc="DA18741E">
      <w:start w:val="1"/>
      <w:numFmt w:val="lowerLetter"/>
      <w:lvlText w:val="%2."/>
      <w:lvlJc w:val="left"/>
      <w:pPr>
        <w:ind w:left="1440" w:hanging="360"/>
      </w:pPr>
    </w:lvl>
    <w:lvl w:ilvl="2" w:tplc="36F84BB4">
      <w:start w:val="1"/>
      <w:numFmt w:val="lowerRoman"/>
      <w:lvlText w:val="%3."/>
      <w:lvlJc w:val="right"/>
      <w:pPr>
        <w:ind w:left="2160" w:hanging="180"/>
      </w:pPr>
    </w:lvl>
    <w:lvl w:ilvl="3" w:tplc="AF82B1B2">
      <w:start w:val="1"/>
      <w:numFmt w:val="decimal"/>
      <w:lvlText w:val="%4."/>
      <w:lvlJc w:val="left"/>
      <w:pPr>
        <w:ind w:left="2880" w:hanging="360"/>
      </w:pPr>
    </w:lvl>
    <w:lvl w:ilvl="4" w:tplc="9CA88854">
      <w:start w:val="1"/>
      <w:numFmt w:val="lowerLetter"/>
      <w:lvlText w:val="%5."/>
      <w:lvlJc w:val="left"/>
      <w:pPr>
        <w:ind w:left="3600" w:hanging="360"/>
      </w:pPr>
    </w:lvl>
    <w:lvl w:ilvl="5" w:tplc="6B5E95F2">
      <w:start w:val="1"/>
      <w:numFmt w:val="lowerRoman"/>
      <w:lvlText w:val="%6."/>
      <w:lvlJc w:val="right"/>
      <w:pPr>
        <w:ind w:left="4320" w:hanging="180"/>
      </w:pPr>
    </w:lvl>
    <w:lvl w:ilvl="6" w:tplc="E2EE56C6">
      <w:start w:val="1"/>
      <w:numFmt w:val="decimal"/>
      <w:lvlText w:val="%7."/>
      <w:lvlJc w:val="left"/>
      <w:pPr>
        <w:ind w:left="5040" w:hanging="360"/>
      </w:pPr>
    </w:lvl>
    <w:lvl w:ilvl="7" w:tplc="6CDEF6EE">
      <w:start w:val="1"/>
      <w:numFmt w:val="lowerLetter"/>
      <w:lvlText w:val="%8."/>
      <w:lvlJc w:val="left"/>
      <w:pPr>
        <w:ind w:left="5760" w:hanging="360"/>
      </w:pPr>
    </w:lvl>
    <w:lvl w:ilvl="8" w:tplc="8BAA9E3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9065F"/>
    <w:multiLevelType w:val="hybridMultilevel"/>
    <w:tmpl w:val="1ACAFCB2"/>
    <w:lvl w:ilvl="0" w:tplc="F6EEA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1E4E8B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37A882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0AC26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324D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2A294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1E807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DCEB1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AA2B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6FBE1BC5"/>
    <w:multiLevelType w:val="hybridMultilevel"/>
    <w:tmpl w:val="38BE3ABC"/>
    <w:lvl w:ilvl="0" w:tplc="BF14DC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1D686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E35CEA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CE89D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3E258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3CCB2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BAE3D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35618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EF086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73AF4EAC"/>
    <w:multiLevelType w:val="hybridMultilevel"/>
    <w:tmpl w:val="CCC8A6AE"/>
    <w:lvl w:ilvl="0" w:tplc="CF661EBA">
      <w:start w:val="1"/>
      <w:numFmt w:val="decimal"/>
      <w:lvlText w:val="%1)"/>
      <w:lvlJc w:val="left"/>
      <w:pPr>
        <w:ind w:left="907" w:hanging="360"/>
      </w:pPr>
    </w:lvl>
    <w:lvl w:ilvl="1" w:tplc="220A33A0">
      <w:start w:val="1"/>
      <w:numFmt w:val="lowerLetter"/>
      <w:lvlText w:val="%2."/>
      <w:lvlJc w:val="left"/>
      <w:pPr>
        <w:ind w:left="1627" w:hanging="360"/>
      </w:pPr>
    </w:lvl>
    <w:lvl w:ilvl="2" w:tplc="D92AB664">
      <w:start w:val="1"/>
      <w:numFmt w:val="lowerRoman"/>
      <w:lvlText w:val="%3."/>
      <w:lvlJc w:val="right"/>
      <w:pPr>
        <w:ind w:left="2347" w:hanging="180"/>
      </w:pPr>
    </w:lvl>
    <w:lvl w:ilvl="3" w:tplc="C1E057A8">
      <w:start w:val="1"/>
      <w:numFmt w:val="decimal"/>
      <w:lvlText w:val="%4."/>
      <w:lvlJc w:val="left"/>
      <w:pPr>
        <w:ind w:left="3067" w:hanging="360"/>
      </w:pPr>
    </w:lvl>
    <w:lvl w:ilvl="4" w:tplc="1882A65A">
      <w:start w:val="1"/>
      <w:numFmt w:val="lowerLetter"/>
      <w:lvlText w:val="%5."/>
      <w:lvlJc w:val="left"/>
      <w:pPr>
        <w:ind w:left="3787" w:hanging="360"/>
      </w:pPr>
    </w:lvl>
    <w:lvl w:ilvl="5" w:tplc="762866E4">
      <w:start w:val="1"/>
      <w:numFmt w:val="lowerRoman"/>
      <w:lvlText w:val="%6."/>
      <w:lvlJc w:val="right"/>
      <w:pPr>
        <w:ind w:left="4507" w:hanging="180"/>
      </w:pPr>
    </w:lvl>
    <w:lvl w:ilvl="6" w:tplc="AD82D4C8">
      <w:start w:val="1"/>
      <w:numFmt w:val="decimal"/>
      <w:lvlText w:val="%7."/>
      <w:lvlJc w:val="left"/>
      <w:pPr>
        <w:ind w:left="5227" w:hanging="360"/>
      </w:pPr>
    </w:lvl>
    <w:lvl w:ilvl="7" w:tplc="A32E8950">
      <w:start w:val="1"/>
      <w:numFmt w:val="lowerLetter"/>
      <w:lvlText w:val="%8."/>
      <w:lvlJc w:val="left"/>
      <w:pPr>
        <w:ind w:left="5947" w:hanging="360"/>
      </w:pPr>
    </w:lvl>
    <w:lvl w:ilvl="8" w:tplc="34E6D6C2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50E5"/>
    <w:rsid w:val="000750E5"/>
    <w:rsid w:val="0060615C"/>
    <w:rsid w:val="00F4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D701C5"/>
  <w15:docId w15:val="{4433FD32-AF7E-4453-8378-0B594CE8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pPr>
      <w:spacing w:before="2400"/>
      <w:ind w:left="6481"/>
    </w:pPr>
    <w:rPr>
      <w:sz w:val="28"/>
      <w:szCs w:val="20"/>
    </w:rPr>
  </w:style>
  <w:style w:type="paragraph" w:styleId="afc">
    <w:name w:val="Body Text"/>
    <w:basedOn w:val="a"/>
    <w:pPr>
      <w:spacing w:after="120"/>
    </w:pPr>
  </w:style>
  <w:style w:type="paragraph" w:styleId="afd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visited">
    <w:name w:val="visited"/>
    <w:basedOn w:val="a0"/>
  </w:style>
  <w:style w:type="character" w:customStyle="1" w:styleId="blk">
    <w:name w:val="blk"/>
    <w:basedOn w:val="a0"/>
  </w:style>
  <w:style w:type="character" w:customStyle="1" w:styleId="match">
    <w:name w:val="match"/>
    <w:basedOn w:val="a0"/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Pr>
      <w:sz w:val="26"/>
      <w:szCs w:val="26"/>
    </w:rPr>
  </w:style>
  <w:style w:type="paragraph" w:customStyle="1" w:styleId="afe">
    <w:name w:val="Знак Знак Знак Знак Знак 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Pr>
      <w:sz w:val="26"/>
      <w:szCs w:val="26"/>
      <w:lang w:val="ru-RU" w:eastAsia="ru-RU" w:bidi="ar-SA"/>
    </w:rPr>
  </w:style>
  <w:style w:type="paragraph" w:customStyle="1" w:styleId="aff">
    <w:name w:val="Название"/>
    <w:basedOn w:val="a"/>
    <w:link w:val="aff0"/>
    <w:qFormat/>
    <w:pPr>
      <w:ind w:firstLine="709"/>
      <w:jc w:val="center"/>
    </w:pPr>
    <w:rPr>
      <w:b/>
      <w:szCs w:val="20"/>
    </w:rPr>
  </w:style>
  <w:style w:type="character" w:customStyle="1" w:styleId="aff0">
    <w:name w:val="Название Знак"/>
    <w:link w:val="aff"/>
    <w:rPr>
      <w:b/>
      <w:sz w:val="24"/>
      <w:lang w:val="ru-RU" w:eastAsia="ru-RU" w:bidi="ar-SA"/>
    </w:rPr>
  </w:style>
  <w:style w:type="character" w:styleId="aff1">
    <w:name w:val="Strong"/>
    <w:uiPriority w:val="22"/>
    <w:qFormat/>
    <w:rPr>
      <w:b/>
      <w:bCs/>
    </w:rPr>
  </w:style>
  <w:style w:type="character" w:styleId="aff2">
    <w:name w:val="Emphasis"/>
    <w:uiPriority w:val="20"/>
    <w:qFormat/>
    <w:rPr>
      <w:i/>
      <w:iCs/>
    </w:rPr>
  </w:style>
  <w:style w:type="paragraph" w:customStyle="1" w:styleId="13">
    <w:name w:val="Основной текст1"/>
    <w:rsid w:val="00F476A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57"/>
      <w:contextualSpacing/>
      <w:jc w:val="both"/>
    </w:pPr>
    <w:rPr>
      <w:sz w:val="28"/>
    </w:rPr>
  </w:style>
  <w:style w:type="character" w:customStyle="1" w:styleId="3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fd"/>
    <w:locked/>
    <w:rsid w:val="00F476A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wps/portal/p/cc_ib_portal_services/cc_ib_sro_reestrs" TargetMode="External"/><Relationship Id="rId13" Type="http://schemas.openxmlformats.org/officeDocument/2006/relationships/hyperlink" Target="https://ok.ru/group/700000009878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r54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1915</Words>
  <Characters>10917</Characters>
  <Application>Microsoft Office Word</Application>
  <DocSecurity>0</DocSecurity>
  <Lines>90</Lines>
  <Paragraphs>25</Paragraphs>
  <ScaleCrop>false</ScaleCrop>
  <Company/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User</cp:lastModifiedBy>
  <cp:revision>300</cp:revision>
  <cp:lastPrinted>2024-12-02T04:30:00Z</cp:lastPrinted>
  <dcterms:created xsi:type="dcterms:W3CDTF">2009-04-08T02:19:00Z</dcterms:created>
  <dcterms:modified xsi:type="dcterms:W3CDTF">2024-12-02T04:31:00Z</dcterms:modified>
  <cp:version>917504</cp:version>
</cp:coreProperties>
</file>